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Sociology</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Jeffrey Maronde</w:t>
      </w:r>
    </w:p>
    <w:p w:rsidR="00000000" w:rsidDel="00000000" w:rsidP="00000000" w:rsidRDefault="00000000" w:rsidRPr="00000000">
      <w:pPr>
        <w:contextualSpacing w:val="0"/>
        <w:jc w:val="center"/>
      </w:pPr>
      <w:hyperlink r:id="rId5">
        <w:r w:rsidDel="00000000" w:rsidR="00000000" w:rsidRPr="00000000">
          <w:rPr>
            <w:rFonts w:ascii="Times New Roman" w:cs="Times New Roman" w:eastAsia="Times New Roman" w:hAnsi="Times New Roman"/>
            <w:color w:val="0000ff"/>
            <w:sz w:val="24"/>
            <w:szCs w:val="24"/>
            <w:u w:val="single"/>
            <w:rtl w:val="0"/>
          </w:rPr>
          <w:t xml:space="preserve">jmaronde@stanberryschools.org</w:t>
        </w:r>
      </w:hyperlink>
      <w:hyperlink r:id="rId6">
        <w:r w:rsidDel="00000000" w:rsidR="00000000" w:rsidRPr="00000000">
          <w:rPr>
            <w:rtl w:val="0"/>
          </w:rPr>
        </w:r>
      </w:hyperlink>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Textbook: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Sociology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Holt, Rinehart and Wilson,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ab/>
        <w:t xml:space="preserve">1995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Overview: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Sociology is the study of people in groups.  This course is intended to familiarize students with the socialization process.  It will include culture and cultural differences, how society is organized and social institutions.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Topics: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1:  Culture and Social Structure</w:t>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2:  The Individual Society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3:  Change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Assessments: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Students will be assessed with daily assignments and projects, both individually and as part of a group.  There will be chapter quizzes and tests to test students’ knowledge of the topic.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Supplies: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Students will need to bring the textbook, a notebook and a pencil every day to class.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Cell Phones: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Cell phones will be put on a table in the back of the room.  Any student found texting during class will have their phone taken away for the rest of the day for the first offense and have their phone given to the office for their second.</w:t>
      </w:r>
    </w:p>
    <w:p w:rsidR="00000000" w:rsidDel="00000000" w:rsidP="00000000" w:rsidRDefault="00000000" w:rsidRPr="00000000">
      <w:pPr>
        <w:contextualSpacing w:val="0"/>
      </w:pPr>
      <w:bookmarkStart w:colFirst="0" w:colLast="0" w:name="h.gjdgxs" w:id="0"/>
      <w:bookmarkEnd w:id="0"/>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Academic Honesty: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Students are expected to do their own work and give credit to any outside sources.  Any student found to be cheating will receive no credit for the assignment.  DO YOUR OWN 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Classroom Rules:</w:t>
      </w:r>
    </w:p>
    <w:p w:rsidR="00000000" w:rsidDel="00000000" w:rsidP="00000000" w:rsidRDefault="00000000" w:rsidRPr="00000000">
      <w:pPr>
        <w:numPr>
          <w:ilvl w:val="0"/>
          <w:numId w:val="1"/>
        </w:numPr>
        <w:spacing w:after="0" w:before="0" w:line="276"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Be Respectful</w:t>
      </w:r>
    </w:p>
    <w:p w:rsidR="00000000" w:rsidDel="00000000" w:rsidP="00000000" w:rsidRDefault="00000000" w:rsidRPr="00000000">
      <w:pPr>
        <w:numPr>
          <w:ilvl w:val="0"/>
          <w:numId w:val="1"/>
        </w:numPr>
        <w:spacing w:after="0" w:before="0" w:line="276"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Show up prepared</w:t>
      </w:r>
    </w:p>
    <w:p w:rsidR="00000000" w:rsidDel="00000000" w:rsidP="00000000" w:rsidRDefault="00000000" w:rsidRPr="00000000">
      <w:pPr>
        <w:numPr>
          <w:ilvl w:val="0"/>
          <w:numId w:val="1"/>
        </w:numPr>
        <w:spacing w:after="200" w:before="0" w:line="276"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Work hard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Grading: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Grades will be calculated based on the total amount of points from the daily assignments and the quizzes and tests.  Any assignment that is 1 day late will receive 75% credit.  Any assignment that is 2 days late will receive 50% credit.  Any assignment that is later then that will not be accepted.  If the student misses a day, then the student is responsible for asking the teacher for the make up work.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Per the handbook of the Stanberry R-II School District the following grading scale will be used: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     96-100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    90-95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   87-89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     84-86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   80-83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   77-79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    74-76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   70-73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  67-69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    64-66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   60-63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    59 &amp; Below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jmaronde@sr2.k12.mo.us" TargetMode="External"/><Relationship Id="rId6" Type="http://schemas.openxmlformats.org/officeDocument/2006/relationships/hyperlink" Target="mailto:jmaronde@sr2.k12.mo.us" TargetMode="External"/></Relationships>
</file>